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AEBF29">
      <w:pPr>
        <w:keepNext w:val="0"/>
        <w:keepLines w:val="0"/>
        <w:pageBreakBefore w:val="0"/>
        <w:widowControl w:val="0"/>
        <w:kinsoku/>
        <w:wordWrap/>
        <w:overflowPunct/>
        <w:topLinePunct w:val="0"/>
        <w:autoSpaceDE/>
        <w:autoSpaceDN/>
        <w:bidi w:val="0"/>
        <w:adjustRightInd/>
        <w:snapToGrid/>
        <w:spacing w:line="560" w:lineRule="atLeast"/>
        <w:jc w:val="left"/>
        <w:textAlignment w:val="auto"/>
        <w:rPr>
          <w:rFonts w:hint="eastAsia" w:ascii="宋体" w:hAnsi="宋体" w:eastAsia="宋体" w:cs="宋体"/>
          <w:b/>
          <w:bCs/>
          <w:color w:val="333333"/>
          <w:kern w:val="0"/>
          <w:sz w:val="24"/>
          <w:szCs w:val="24"/>
          <w:lang w:val="en-US" w:eastAsia="zh-CN"/>
        </w:rPr>
      </w:pPr>
      <w:r>
        <w:rPr>
          <w:rFonts w:hint="eastAsia" w:ascii="宋体" w:hAnsi="宋体" w:eastAsia="宋体" w:cs="宋体"/>
          <w:b/>
          <w:bCs/>
          <w:color w:val="333333"/>
          <w:kern w:val="0"/>
          <w:sz w:val="24"/>
          <w:szCs w:val="24"/>
          <w:lang w:val="en-US" w:eastAsia="zh-CN"/>
        </w:rPr>
        <w:t xml:space="preserve">附件1 </w:t>
      </w:r>
      <w:r>
        <w:rPr>
          <w:rFonts w:hint="eastAsia" w:ascii="宋体" w:hAnsi="宋体" w:cs="宋体"/>
          <w:b/>
          <w:bCs/>
          <w:color w:val="333333"/>
          <w:kern w:val="0"/>
          <w:sz w:val="24"/>
          <w:szCs w:val="24"/>
          <w:lang w:val="en-US" w:eastAsia="zh-CN"/>
        </w:rPr>
        <w:t>合理用药监控系统</w:t>
      </w:r>
      <w:r>
        <w:rPr>
          <w:rFonts w:hint="eastAsia" w:ascii="宋体" w:hAnsi="宋体" w:eastAsia="宋体" w:cs="宋体"/>
          <w:b/>
          <w:bCs/>
          <w:color w:val="333333"/>
          <w:kern w:val="0"/>
          <w:sz w:val="24"/>
          <w:szCs w:val="24"/>
          <w:lang w:val="en-US" w:eastAsia="zh-CN"/>
        </w:rPr>
        <w:t>产品具体技术、功能及相关要求</w:t>
      </w:r>
    </w:p>
    <w:p w14:paraId="29FA90B5">
      <w:pPr>
        <w:spacing w:line="360" w:lineRule="auto"/>
        <w:contextualSpacing/>
        <w:rPr>
          <w:rFonts w:hint="eastAsia" w:ascii="宋体" w:hAnsi="宋体" w:eastAsia="宋体" w:cs="宋体"/>
          <w:b/>
          <w:bCs/>
          <w:color w:val="333333"/>
          <w:kern w:val="0"/>
          <w:sz w:val="24"/>
          <w:szCs w:val="24"/>
          <w:lang w:val="en-US" w:eastAsia="zh-CN"/>
        </w:rPr>
      </w:pPr>
      <w:r>
        <w:rPr>
          <w:rFonts w:hint="eastAsia" w:ascii="宋体" w:hAnsi="宋体" w:eastAsia="宋体" w:cs="宋体"/>
          <w:b/>
          <w:bCs/>
          <w:color w:val="333333"/>
          <w:kern w:val="0"/>
          <w:sz w:val="24"/>
          <w:szCs w:val="24"/>
          <w:lang w:val="en-US" w:eastAsia="zh-CN"/>
        </w:rPr>
        <w:t>服务要求：</w:t>
      </w:r>
    </w:p>
    <w:p w14:paraId="32F14081">
      <w:pPr>
        <w:spacing w:line="360" w:lineRule="auto"/>
        <w:contextualSpacing/>
        <w:rPr>
          <w:b w:val="0"/>
          <w:bCs/>
          <w:kern w:val="2"/>
          <w:sz w:val="24"/>
          <w:szCs w:val="24"/>
          <w:lang w:eastAsia="zh-CN"/>
        </w:rPr>
      </w:pPr>
      <w:r>
        <w:rPr>
          <w:sz w:val="24"/>
        </w:rPr>
        <w:t>1.</w:t>
      </w:r>
      <w:r>
        <w:rPr>
          <w:rFonts w:hint="eastAsia"/>
          <w:sz w:val="24"/>
        </w:rPr>
        <w:t xml:space="preserve"> 实施的期限</w:t>
      </w:r>
      <w:bookmarkStart w:id="0" w:name="_Toc24426"/>
      <w:bookmarkStart w:id="1" w:name="_Toc30905"/>
      <w:r>
        <w:rPr>
          <w:rFonts w:hint="eastAsia"/>
          <w:sz w:val="24"/>
          <w:lang w:eastAsia="zh-CN"/>
        </w:rPr>
        <w:t>：</w:t>
      </w:r>
      <w:r>
        <w:rPr>
          <w:rFonts w:hint="eastAsia"/>
          <w:b w:val="0"/>
          <w:kern w:val="2"/>
          <w:sz w:val="24"/>
          <w:szCs w:val="24"/>
          <w:lang w:eastAsia="zh-CN"/>
        </w:rPr>
        <w:t>采购项目（标的）实施的时间：</w:t>
      </w:r>
      <w:bookmarkEnd w:id="0"/>
      <w:bookmarkEnd w:id="1"/>
      <w:r>
        <w:rPr>
          <w:rFonts w:hint="eastAsia"/>
          <w:b w:val="0"/>
          <w:kern w:val="2"/>
          <w:sz w:val="24"/>
          <w:szCs w:val="24"/>
          <w:lang w:eastAsia="zh-CN"/>
        </w:rPr>
        <w:t>合同签订后</w:t>
      </w:r>
      <w:r>
        <w:rPr>
          <w:rFonts w:hint="eastAsia"/>
          <w:b w:val="0"/>
          <w:kern w:val="2"/>
          <w:sz w:val="24"/>
          <w:szCs w:val="24"/>
          <w:lang w:val="en-US" w:eastAsia="zh-CN"/>
        </w:rPr>
        <w:t>4</w:t>
      </w:r>
      <w:r>
        <w:rPr>
          <w:rFonts w:hint="eastAsia"/>
          <w:b w:val="0"/>
          <w:kern w:val="2"/>
          <w:sz w:val="24"/>
          <w:szCs w:val="24"/>
          <w:lang w:eastAsia="zh-CN"/>
        </w:rPr>
        <w:t>个月内</w:t>
      </w:r>
    </w:p>
    <w:p w14:paraId="6CC645FC">
      <w:pPr>
        <w:spacing w:line="360" w:lineRule="auto"/>
        <w:contextualSpacing/>
        <w:rPr>
          <w:sz w:val="24"/>
        </w:rPr>
      </w:pPr>
      <w:r>
        <w:rPr>
          <w:rFonts w:hint="eastAsia"/>
          <w:sz w:val="24"/>
        </w:rPr>
        <w:t>2.付款条件（进度和方式）：按合同约定方式付款：首付款50%、上线款40%、验收款10%。</w:t>
      </w:r>
    </w:p>
    <w:p w14:paraId="249E94A2">
      <w:pPr>
        <w:spacing w:line="360" w:lineRule="auto"/>
        <w:contextualSpacing/>
        <w:rPr>
          <w:rFonts w:hint="eastAsia" w:ascii="宋体" w:hAnsi="宋体" w:eastAsia="宋体" w:cs="宋体"/>
          <w:b/>
          <w:bCs/>
          <w:color w:val="333333"/>
          <w:kern w:val="0"/>
          <w:sz w:val="24"/>
          <w:szCs w:val="24"/>
          <w:lang w:val="en-US" w:eastAsia="zh-CN"/>
        </w:rPr>
      </w:pPr>
      <w:r>
        <w:rPr>
          <w:rFonts w:hint="eastAsia"/>
          <w:sz w:val="24"/>
        </w:rPr>
        <w:t>3．自验收之日起开始计算免费维护期，免费维护期共1年，后续维护</w:t>
      </w:r>
      <w:r>
        <w:rPr>
          <w:sz w:val="24"/>
        </w:rPr>
        <w:t>费为</w:t>
      </w:r>
      <w:r>
        <w:rPr>
          <w:rFonts w:hint="eastAsia"/>
          <w:sz w:val="24"/>
        </w:rPr>
        <w:t>总价款 的10 %。</w:t>
      </w:r>
    </w:p>
    <w:p w14:paraId="04F744DF">
      <w:pPr>
        <w:numPr>
          <w:ilvl w:val="0"/>
          <w:numId w:val="1"/>
        </w:numPr>
        <w:spacing w:before="120" w:after="120" w:line="360" w:lineRule="auto"/>
        <w:ind w:left="425" w:leftChars="0" w:hanging="425" w:firstLineChars="0"/>
        <w:jc w:val="left"/>
        <w:rPr>
          <w:rFonts w:hint="eastAsia" w:ascii="宋体" w:hAnsi="宋体" w:eastAsia="宋体" w:cs="宋体"/>
          <w:b/>
          <w:bCs/>
          <w:color w:val="333333"/>
          <w:kern w:val="0"/>
          <w:sz w:val="24"/>
          <w:szCs w:val="24"/>
          <w:lang w:val="en-US" w:eastAsia="zh-CN"/>
        </w:rPr>
      </w:pPr>
      <w:r>
        <w:rPr>
          <w:rFonts w:hint="eastAsia" w:ascii="宋体" w:hAnsi="宋体" w:eastAsia="宋体" w:cs="宋体"/>
          <w:b/>
          <w:bCs/>
          <w:color w:val="333333"/>
          <w:kern w:val="0"/>
          <w:sz w:val="24"/>
          <w:szCs w:val="24"/>
          <w:lang w:val="en-US" w:eastAsia="zh-CN"/>
        </w:rPr>
        <w:t>技术要求：</w:t>
      </w:r>
    </w:p>
    <w:p w14:paraId="2C00B732">
      <w:pPr>
        <w:spacing w:line="360" w:lineRule="auto"/>
        <w:contextualSpacing/>
        <w:rPr>
          <w:rFonts w:hint="eastAsia"/>
          <w:sz w:val="24"/>
        </w:rPr>
      </w:pPr>
      <w:r>
        <w:rPr>
          <w:rFonts w:hint="eastAsia"/>
          <w:sz w:val="24"/>
          <w:lang w:val="en-US" w:eastAsia="zh-CN"/>
        </w:rPr>
        <w:t>1.</w:t>
      </w:r>
      <w:r>
        <w:rPr>
          <w:rFonts w:hint="eastAsia"/>
          <w:sz w:val="24"/>
        </w:rPr>
        <w:t>系统支持根据患者性别、年龄、人群、诊断等内容审核饮片煎法</w:t>
      </w:r>
      <w:r>
        <w:rPr>
          <w:rFonts w:hint="eastAsia"/>
          <w:sz w:val="24"/>
          <w:lang w:val="en-US" w:eastAsia="zh-CN"/>
        </w:rPr>
        <w:t>是否正确</w:t>
      </w:r>
      <w:r>
        <w:rPr>
          <w:rFonts w:hint="eastAsia"/>
          <w:sz w:val="24"/>
        </w:rPr>
        <w:t>。</w:t>
      </w:r>
    </w:p>
    <w:p w14:paraId="5D2FAFA0">
      <w:pPr>
        <w:spacing w:line="360" w:lineRule="auto"/>
        <w:contextualSpacing/>
        <w:rPr>
          <w:rFonts w:hint="eastAsia"/>
          <w:sz w:val="24"/>
        </w:rPr>
      </w:pPr>
      <w:r>
        <w:rPr>
          <w:rFonts w:hint="eastAsia"/>
          <w:sz w:val="24"/>
          <w:lang w:val="en-US" w:eastAsia="zh-CN"/>
        </w:rPr>
        <w:t>2.</w:t>
      </w:r>
      <w:r>
        <w:rPr>
          <w:rFonts w:hint="eastAsia"/>
          <w:sz w:val="24"/>
        </w:rPr>
        <w:t>系统支持根据患者性别、年龄、人群、诊断等内容审核饮片服法</w:t>
      </w:r>
      <w:r>
        <w:rPr>
          <w:rFonts w:hint="eastAsia"/>
          <w:sz w:val="24"/>
          <w:lang w:val="en-US" w:eastAsia="zh-CN"/>
        </w:rPr>
        <w:t>是否正确</w:t>
      </w:r>
      <w:r>
        <w:rPr>
          <w:rFonts w:hint="eastAsia"/>
          <w:sz w:val="24"/>
        </w:rPr>
        <w:t>。</w:t>
      </w:r>
    </w:p>
    <w:p w14:paraId="64E0380C">
      <w:pPr>
        <w:spacing w:line="360" w:lineRule="auto"/>
        <w:contextualSpacing/>
        <w:rPr>
          <w:rFonts w:hint="eastAsia"/>
          <w:sz w:val="24"/>
        </w:rPr>
      </w:pPr>
      <w:r>
        <w:rPr>
          <w:rFonts w:hint="eastAsia"/>
          <w:sz w:val="24"/>
          <w:lang w:val="en-US" w:eastAsia="zh-CN"/>
        </w:rPr>
        <w:t>3.</w:t>
      </w:r>
      <w:r>
        <w:rPr>
          <w:rFonts w:hint="eastAsia"/>
          <w:sz w:val="24"/>
        </w:rPr>
        <w:t>系统支持根据患者性别、年龄、人群、诊断等内容审核饮片脚注</w:t>
      </w:r>
      <w:r>
        <w:rPr>
          <w:rFonts w:hint="eastAsia"/>
          <w:sz w:val="24"/>
          <w:lang w:val="en-US" w:eastAsia="zh-CN"/>
        </w:rPr>
        <w:t>是否正确</w:t>
      </w:r>
      <w:r>
        <w:rPr>
          <w:rFonts w:hint="eastAsia"/>
          <w:sz w:val="24"/>
        </w:rPr>
        <w:t>。</w:t>
      </w:r>
    </w:p>
    <w:p w14:paraId="18F88E79">
      <w:pPr>
        <w:spacing w:line="360" w:lineRule="auto"/>
        <w:contextualSpacing/>
        <w:rPr>
          <w:rFonts w:hint="eastAsia"/>
          <w:sz w:val="24"/>
          <w:lang w:val="en-US" w:eastAsia="zh-CN"/>
        </w:rPr>
      </w:pPr>
      <w:r>
        <w:rPr>
          <w:rFonts w:hint="eastAsia"/>
          <w:sz w:val="24"/>
          <w:lang w:val="en-US" w:eastAsia="zh-CN"/>
        </w:rPr>
        <w:t>4.</w:t>
      </w:r>
      <w:r>
        <w:rPr>
          <w:rFonts w:hint="eastAsia"/>
          <w:sz w:val="24"/>
        </w:rPr>
        <w:t>系统支持根据患者性别、年龄、人群、诊断等内容审核饮片用量</w:t>
      </w:r>
      <w:r>
        <w:rPr>
          <w:rFonts w:hint="eastAsia"/>
          <w:sz w:val="24"/>
          <w:lang w:val="en-US" w:eastAsia="zh-CN"/>
        </w:rPr>
        <w:t>是否正确。</w:t>
      </w:r>
    </w:p>
    <w:p w14:paraId="6BB53584">
      <w:pPr>
        <w:spacing w:line="360" w:lineRule="auto"/>
        <w:contextualSpacing/>
        <w:rPr>
          <w:rFonts w:hint="eastAsia"/>
          <w:sz w:val="24"/>
        </w:rPr>
      </w:pPr>
      <w:r>
        <w:rPr>
          <w:rFonts w:hint="eastAsia"/>
          <w:sz w:val="24"/>
          <w:lang w:val="en-US" w:eastAsia="zh-CN"/>
        </w:rPr>
        <w:t>5.</w:t>
      </w:r>
      <w:r>
        <w:rPr>
          <w:rFonts w:hint="eastAsia"/>
          <w:sz w:val="24"/>
        </w:rPr>
        <w:t>系统支持审核患者性别、年龄、人群禁忌。</w:t>
      </w:r>
    </w:p>
    <w:p w14:paraId="3CB4470F">
      <w:pPr>
        <w:spacing w:line="360" w:lineRule="auto"/>
        <w:contextualSpacing/>
        <w:rPr>
          <w:rFonts w:hint="eastAsia"/>
          <w:sz w:val="24"/>
        </w:rPr>
      </w:pPr>
      <w:r>
        <w:rPr>
          <w:rFonts w:hint="eastAsia"/>
          <w:sz w:val="24"/>
          <w:lang w:val="en-US" w:eastAsia="zh-CN"/>
        </w:rPr>
        <w:t>6.</w:t>
      </w:r>
      <w:r>
        <w:rPr>
          <w:rFonts w:hint="eastAsia"/>
          <w:sz w:val="24"/>
        </w:rPr>
        <w:t>系统支持审核饮片之间的十八反十九畏。</w:t>
      </w:r>
    </w:p>
    <w:p w14:paraId="426202D7">
      <w:pPr>
        <w:spacing w:line="360" w:lineRule="auto"/>
        <w:contextualSpacing/>
        <w:rPr>
          <w:rFonts w:hint="eastAsia"/>
          <w:sz w:val="24"/>
        </w:rPr>
      </w:pPr>
      <w:r>
        <w:rPr>
          <w:rFonts w:hint="eastAsia"/>
          <w:sz w:val="24"/>
          <w:lang w:val="en-US" w:eastAsia="zh-CN"/>
        </w:rPr>
        <w:t>7.</w:t>
      </w:r>
      <w:r>
        <w:rPr>
          <w:rFonts w:hint="eastAsia"/>
          <w:sz w:val="24"/>
        </w:rPr>
        <w:t>支持限制饮片的单独开药。</w:t>
      </w:r>
      <w:bookmarkStart w:id="2" w:name="_GoBack"/>
      <w:bookmarkEnd w:id="2"/>
    </w:p>
    <w:p w14:paraId="4C31DFBD">
      <w:pPr>
        <w:spacing w:line="360" w:lineRule="auto"/>
        <w:contextualSpacing/>
        <w:rPr>
          <w:rFonts w:hint="eastAsia"/>
          <w:sz w:val="24"/>
        </w:rPr>
      </w:pPr>
      <w:r>
        <w:rPr>
          <w:rFonts w:hint="eastAsia"/>
          <w:sz w:val="24"/>
          <w:lang w:val="en-US" w:eastAsia="zh-CN"/>
        </w:rPr>
        <w:t>8.</w:t>
      </w:r>
      <w:r>
        <w:rPr>
          <w:rFonts w:hint="eastAsia"/>
          <w:sz w:val="24"/>
        </w:rPr>
        <w:t>支持审核饮片金额和用量是否超过规定限制。</w:t>
      </w:r>
    </w:p>
    <w:p w14:paraId="509E792F">
      <w:pPr>
        <w:spacing w:line="360" w:lineRule="auto"/>
        <w:contextualSpacing/>
        <w:rPr>
          <w:rFonts w:hint="eastAsia"/>
          <w:sz w:val="24"/>
        </w:rPr>
      </w:pPr>
      <w:r>
        <w:rPr>
          <w:rFonts w:hint="eastAsia"/>
          <w:sz w:val="24"/>
          <w:lang w:val="en-US" w:eastAsia="zh-CN"/>
        </w:rPr>
        <w:t>9.</w:t>
      </w:r>
      <w:r>
        <w:rPr>
          <w:rFonts w:hint="eastAsia"/>
          <w:sz w:val="24"/>
        </w:rPr>
        <w:t>支持审核贵细类饮片的药味数和占比限制。</w:t>
      </w:r>
    </w:p>
    <w:p w14:paraId="1D1D0EEF">
      <w:pPr>
        <w:spacing w:line="360" w:lineRule="auto"/>
        <w:contextualSpacing/>
        <w:rPr>
          <w:rFonts w:hint="eastAsia"/>
          <w:sz w:val="24"/>
        </w:rPr>
      </w:pPr>
      <w:r>
        <w:rPr>
          <w:rFonts w:hint="eastAsia"/>
          <w:sz w:val="24"/>
          <w:lang w:val="en-US" w:eastAsia="zh-CN"/>
        </w:rPr>
        <w:t>10.</w:t>
      </w:r>
      <w:r>
        <w:rPr>
          <w:rFonts w:hint="eastAsia"/>
          <w:sz w:val="24"/>
        </w:rPr>
        <w:t>支持审核含有重金属饮片的药味数和占比限制。</w:t>
      </w:r>
    </w:p>
    <w:p w14:paraId="25528922">
      <w:pPr>
        <w:spacing w:line="360" w:lineRule="auto"/>
        <w:contextualSpacing/>
        <w:rPr>
          <w:rFonts w:hint="eastAsia"/>
          <w:sz w:val="24"/>
        </w:rPr>
      </w:pPr>
      <w:r>
        <w:rPr>
          <w:rFonts w:hint="eastAsia"/>
          <w:sz w:val="24"/>
          <w:lang w:val="en-US" w:eastAsia="zh-CN"/>
        </w:rPr>
        <w:t>11.</w:t>
      </w:r>
      <w:r>
        <w:rPr>
          <w:rFonts w:hint="eastAsia"/>
          <w:sz w:val="24"/>
        </w:rPr>
        <w:t>支持审核毒性饮片的药味数和占比限制。</w:t>
      </w:r>
    </w:p>
    <w:p w14:paraId="22598EBE">
      <w:pPr>
        <w:spacing w:line="360" w:lineRule="auto"/>
        <w:contextualSpacing/>
        <w:rPr>
          <w:rFonts w:hint="eastAsia"/>
          <w:sz w:val="24"/>
        </w:rPr>
      </w:pPr>
      <w:r>
        <w:rPr>
          <w:rFonts w:hint="eastAsia"/>
          <w:sz w:val="24"/>
          <w:lang w:val="en-US" w:eastAsia="zh-CN"/>
        </w:rPr>
        <w:t>12.</w:t>
      </w:r>
      <w:r>
        <w:rPr>
          <w:rFonts w:hint="eastAsia"/>
          <w:sz w:val="24"/>
        </w:rPr>
        <w:t>支持审核药食同源饮片的药味数和占比限制。</w:t>
      </w:r>
    </w:p>
    <w:p w14:paraId="705BF64B">
      <w:pPr>
        <w:spacing w:line="360" w:lineRule="auto"/>
        <w:contextualSpacing/>
        <w:rPr>
          <w:rFonts w:hint="eastAsia"/>
          <w:sz w:val="24"/>
        </w:rPr>
      </w:pPr>
      <w:r>
        <w:rPr>
          <w:rFonts w:hint="eastAsia"/>
          <w:sz w:val="24"/>
          <w:lang w:val="en-US" w:eastAsia="zh-CN"/>
        </w:rPr>
        <w:t>13.</w:t>
      </w:r>
      <w:r>
        <w:rPr>
          <w:rFonts w:hint="eastAsia"/>
          <w:sz w:val="24"/>
        </w:rPr>
        <w:t>支持审核饮片的开药限制。</w:t>
      </w:r>
    </w:p>
    <w:p w14:paraId="434898B9">
      <w:pPr>
        <w:spacing w:line="360" w:lineRule="auto"/>
        <w:contextualSpacing/>
        <w:rPr>
          <w:rFonts w:hint="eastAsia"/>
          <w:sz w:val="24"/>
          <w:lang w:val="en-US" w:eastAsia="zh-CN"/>
        </w:rPr>
      </w:pPr>
      <w:r>
        <w:rPr>
          <w:rFonts w:hint="eastAsia"/>
          <w:sz w:val="24"/>
          <w:lang w:val="en-US" w:eastAsia="zh-CN"/>
        </w:rPr>
        <w:t>14.支持饮片审核前置审核拦截。</w:t>
      </w:r>
    </w:p>
    <w:p w14:paraId="54B4D4CD">
      <w:pPr>
        <w:spacing w:line="360" w:lineRule="auto"/>
        <w:contextualSpacing/>
        <w:rPr>
          <w:rFonts w:hint="eastAsia"/>
          <w:sz w:val="24"/>
        </w:rPr>
      </w:pPr>
      <w:r>
        <w:rPr>
          <w:rFonts w:hint="eastAsia"/>
          <w:sz w:val="24"/>
          <w:lang w:val="en-US" w:eastAsia="zh-CN"/>
        </w:rPr>
        <w:t>15.</w:t>
      </w:r>
      <w:r>
        <w:rPr>
          <w:rFonts w:hint="eastAsia"/>
          <w:sz w:val="24"/>
        </w:rPr>
        <w:t>系统支持对药品及其审核项进行审核配置。例如可选出某些饮片不审核用量。</w:t>
      </w:r>
    </w:p>
    <w:p w14:paraId="1ACEE544">
      <w:pPr>
        <w:spacing w:line="360" w:lineRule="auto"/>
        <w:contextualSpacing/>
        <w:rPr>
          <w:rFonts w:hint="eastAsia"/>
          <w:sz w:val="24"/>
          <w:lang w:val="en-US" w:eastAsia="zh-CN"/>
        </w:rPr>
      </w:pPr>
      <w:r>
        <w:rPr>
          <w:rFonts w:hint="eastAsia"/>
          <w:sz w:val="24"/>
          <w:lang w:val="en-US" w:eastAsia="zh-CN"/>
        </w:rPr>
        <w:t>16.系统需要支持中成药适应症审核。</w:t>
      </w:r>
    </w:p>
    <w:p w14:paraId="6198F1BF">
      <w:pPr>
        <w:spacing w:line="360" w:lineRule="auto"/>
        <w:contextualSpacing/>
        <w:rPr>
          <w:rFonts w:hint="eastAsia"/>
          <w:sz w:val="24"/>
        </w:rPr>
      </w:pPr>
      <w:r>
        <w:rPr>
          <w:rFonts w:hint="eastAsia"/>
          <w:sz w:val="24"/>
          <w:lang w:val="en-US" w:eastAsia="zh-CN"/>
        </w:rPr>
        <w:t>17.</w:t>
      </w:r>
      <w:r>
        <w:rPr>
          <w:rFonts w:hint="eastAsia"/>
          <w:sz w:val="24"/>
        </w:rPr>
        <w:t>管理员可配置哪些科室参与前置审核。不参与前置审核的科室只进行系统审核。</w:t>
      </w:r>
    </w:p>
    <w:p w14:paraId="06A6AF9E">
      <w:pPr>
        <w:spacing w:line="360" w:lineRule="auto"/>
        <w:contextualSpacing/>
        <w:rPr>
          <w:rFonts w:hint="eastAsia"/>
          <w:sz w:val="24"/>
        </w:rPr>
      </w:pPr>
      <w:r>
        <w:rPr>
          <w:rFonts w:hint="eastAsia"/>
          <w:sz w:val="24"/>
          <w:lang w:val="en-US" w:eastAsia="zh-CN"/>
        </w:rPr>
        <w:t>18.</w:t>
      </w:r>
      <w:r>
        <w:rPr>
          <w:rFonts w:hint="eastAsia"/>
          <w:sz w:val="24"/>
        </w:rPr>
        <w:t>系统支持根据患者性别、患者年龄、既往病史、过敏史、特殊人群、门急诊类型、就诊科室、处方医生、医生级别、处方诊断、药品类别（贵细饮片、毒性饮片、重金属饮片、食疗养生等）、饮片名称、饮片剂数、饮片味数、饮片煎法、饮片剂数、服法、饮片单价范围、发药药房、发药药师、结算类型、前置审核适宜性信息、药师审核超时状态等多个维度，定制处方点评的抽样模板。</w:t>
      </w:r>
    </w:p>
    <w:p w14:paraId="30002C32">
      <w:pPr>
        <w:spacing w:line="360" w:lineRule="auto"/>
        <w:contextualSpacing/>
        <w:rPr>
          <w:rFonts w:hint="eastAsia"/>
          <w:sz w:val="24"/>
        </w:rPr>
      </w:pPr>
      <w:r>
        <w:rPr>
          <w:rFonts w:hint="eastAsia"/>
          <w:sz w:val="24"/>
          <w:lang w:val="en-US" w:eastAsia="zh-CN"/>
        </w:rPr>
        <w:t>19.</w:t>
      </w:r>
      <w:r>
        <w:rPr>
          <w:rFonts w:hint="eastAsia"/>
          <w:sz w:val="24"/>
        </w:rPr>
        <w:t>管理员药师可选择抽样方案，支持设置抽样日期范围、点评截止日期，配置是否显示科室及医生信息，然后进行抽样。</w:t>
      </w:r>
    </w:p>
    <w:p w14:paraId="1C447A43">
      <w:pPr>
        <w:spacing w:line="360" w:lineRule="auto"/>
        <w:contextualSpacing/>
        <w:rPr>
          <w:rFonts w:hint="eastAsia"/>
          <w:sz w:val="24"/>
        </w:rPr>
      </w:pPr>
      <w:r>
        <w:rPr>
          <w:rFonts w:hint="eastAsia"/>
          <w:sz w:val="24"/>
          <w:lang w:val="en-US" w:eastAsia="zh-CN"/>
        </w:rPr>
        <w:t>20.</w:t>
      </w:r>
      <w:r>
        <w:rPr>
          <w:rFonts w:hint="eastAsia"/>
          <w:sz w:val="24"/>
        </w:rPr>
        <w:t>系统支持根据药师点评工作量，为药师灵活分配点评任务，也可平均分配所有点评工作任务，也可以支持按处方的开方科室进行分配。分配完毕后，点评药师可登录系统查看自己负责点评的处方。</w:t>
      </w:r>
    </w:p>
    <w:p w14:paraId="7EABB221">
      <w:pPr>
        <w:spacing w:line="360" w:lineRule="auto"/>
        <w:contextualSpacing/>
        <w:rPr>
          <w:rFonts w:hint="eastAsia"/>
          <w:sz w:val="24"/>
        </w:rPr>
      </w:pPr>
      <w:r>
        <w:rPr>
          <w:rFonts w:hint="eastAsia"/>
          <w:sz w:val="24"/>
          <w:lang w:val="en-US" w:eastAsia="zh-CN"/>
        </w:rPr>
        <w:t>21.</w:t>
      </w:r>
      <w:r>
        <w:rPr>
          <w:rFonts w:hint="eastAsia"/>
          <w:sz w:val="24"/>
        </w:rPr>
        <w:t>药师根据系统的预点评结果，可以直观的发现处方中对饮片处方临床使用的不合理问题</w:t>
      </w:r>
    </w:p>
    <w:p w14:paraId="3D92B43A">
      <w:pPr>
        <w:spacing w:line="360" w:lineRule="auto"/>
        <w:contextualSpacing/>
        <w:rPr>
          <w:rFonts w:hint="eastAsia"/>
          <w:sz w:val="24"/>
        </w:rPr>
      </w:pPr>
      <w:r>
        <w:rPr>
          <w:rFonts w:hint="eastAsia"/>
          <w:sz w:val="24"/>
          <w:lang w:val="en-US" w:eastAsia="zh-CN"/>
        </w:rPr>
        <w:t>22.</w:t>
      </w:r>
      <w:r>
        <w:rPr>
          <w:rFonts w:hint="eastAsia"/>
          <w:sz w:val="24"/>
        </w:rPr>
        <w:t>门急诊药师管理员可以在点评管理功能中总览全院所有门急诊处方点评批次，查看批次名称、抽样时间范围、进度、状态等信息。可在其中对批次进行结束点评、归档等操作，及查看批次中具体处方的点评详情信息。</w:t>
      </w:r>
    </w:p>
    <w:p w14:paraId="5B332895">
      <w:pPr>
        <w:spacing w:line="360" w:lineRule="auto"/>
        <w:contextualSpacing/>
        <w:rPr>
          <w:rFonts w:hint="eastAsia"/>
          <w:sz w:val="24"/>
        </w:rPr>
      </w:pPr>
      <w:r>
        <w:rPr>
          <w:rFonts w:hint="eastAsia"/>
          <w:sz w:val="24"/>
          <w:lang w:val="en-US" w:eastAsia="zh-CN"/>
        </w:rPr>
        <w:t>23.</w:t>
      </w:r>
      <w:r>
        <w:rPr>
          <w:rFonts w:hint="eastAsia"/>
          <w:sz w:val="24"/>
        </w:rPr>
        <w:t>点评管理员可以在所有点评工作完成后，对点评结果进行发布，结果发布后，医生可以看到自己被点评为不合理的处方。</w:t>
      </w:r>
    </w:p>
    <w:p w14:paraId="691693B1">
      <w:pPr>
        <w:spacing w:line="360" w:lineRule="auto"/>
        <w:contextualSpacing/>
        <w:rPr>
          <w:rFonts w:hint="eastAsia"/>
          <w:sz w:val="24"/>
        </w:rPr>
      </w:pPr>
      <w:r>
        <w:rPr>
          <w:rFonts w:hint="eastAsia"/>
          <w:sz w:val="24"/>
          <w:lang w:val="en-US" w:eastAsia="zh-CN"/>
        </w:rPr>
        <w:t>24.</w:t>
      </w:r>
      <w:r>
        <w:rPr>
          <w:rFonts w:hint="eastAsia"/>
          <w:sz w:val="24"/>
        </w:rPr>
        <w:t>当点评管理对点评批次进行发布后，医生可以对药师点评结果存在异议的结果进行申诉，申诉后由管理员分配的申诉处理药师进行处理。</w:t>
      </w:r>
    </w:p>
    <w:p w14:paraId="618399C4">
      <w:pPr>
        <w:spacing w:line="360" w:lineRule="auto"/>
        <w:contextualSpacing/>
        <w:rPr>
          <w:rFonts w:hint="default"/>
          <w:sz w:val="24"/>
          <w:lang w:val="en-US" w:eastAsia="zh-CN"/>
        </w:rPr>
      </w:pPr>
      <w:r>
        <w:rPr>
          <w:rFonts w:hint="eastAsia"/>
          <w:sz w:val="24"/>
          <w:lang w:val="en-US" w:eastAsia="zh-CN"/>
        </w:rPr>
        <w:t>25.</w:t>
      </w:r>
      <w:r>
        <w:rPr>
          <w:rFonts w:hint="eastAsia"/>
          <w:sz w:val="24"/>
        </w:rPr>
        <w:t>批次结束发布后，管理员可根据医院点评要求及药师工作量为药师灵活分配</w:t>
      </w:r>
      <w:r>
        <w:rPr>
          <w:rFonts w:hint="eastAsia"/>
          <w:sz w:val="24"/>
          <w:lang w:val="en-US" w:eastAsia="zh-CN"/>
        </w:rPr>
        <w:t>医生提交</w:t>
      </w:r>
      <w:r>
        <w:rPr>
          <w:rFonts w:hint="eastAsia"/>
          <w:sz w:val="24"/>
        </w:rPr>
        <w:t>申诉处理任务。</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68A57C"/>
    <w:multiLevelType w:val="singleLevel"/>
    <w:tmpl w:val="CB68A57C"/>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5853C3"/>
    <w:rsid w:val="06D4500D"/>
    <w:rsid w:val="09130630"/>
    <w:rsid w:val="32D907B3"/>
    <w:rsid w:val="401965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Title"/>
    <w:basedOn w:val="1"/>
    <w:qFormat/>
    <w:uiPriority w:val="0"/>
    <w:pPr>
      <w:autoSpaceDE w:val="0"/>
      <w:autoSpaceDN w:val="0"/>
      <w:jc w:val="center"/>
      <w:outlineLvl w:val="0"/>
    </w:pPr>
    <w:rPr>
      <w:rFonts w:ascii="宋体" w:hAnsi="宋体" w:cs="宋体"/>
      <w:b/>
      <w:kern w:val="0"/>
      <w:sz w:val="32"/>
      <w:szCs w:val="20"/>
      <w:lang w:eastAsia="en-US"/>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0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1146</Words>
  <Characters>1196</Characters>
  <Lines>0</Lines>
  <Paragraphs>0</Paragraphs>
  <TotalTime>1</TotalTime>
  <ScaleCrop>false</ScaleCrop>
  <LinksUpToDate>false</LinksUpToDate>
  <CharactersWithSpaces>1200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2026-07-30T01:02:00Z</dcterms:created>
  <dc:creator>admin</dc:creator>
  <cp:lastModifiedBy>admin</cp:lastModifiedBy>
  <dcterms:modified xsi:type="dcterms:W3CDTF">2026-08-05T02:33:56Z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eyJoZGlkIjoiNzA0NjM1MjcxYTlhYzJhMDM2OTNiMWIxMjI2YzhmNjUiLCJ1c2VySWQiOiIxNjA5MjQ5NzE5In0=</vt:lpwstr>
  </property>
  <property fmtid="{D5CDD505-2E9C-101B-9397-08002B2CF9AE}" pid="4" name="ICV">
    <vt:lpwstr>DCF0468CDC4648298915D00C0D19366D_12</vt:lpwstr>
  </property>
</Properties>
</file>